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0" w:line="240" w:lineRule="auto"/>
        <w:jc w:val="left"/>
      </w:pPr>
      <w:r>
        <w:rPr>
          <w:rFonts w:ascii="Poppins" w:hAnsi="Poppins" w:eastAsia="Poppins" w:cs="Poppins"/>
          <w:b/>
          <w:i w:val="0"/>
          <w:color w:val="B8863B"/>
          <w:sz w:val="19"/>
        </w:rPr>
        <w:t>HIPPOCAMPUS E-CADEMY · CURSUS 02</w:t>
      </w:r>
    </w:p>
    <w:p>
      <w:pPr>
        <w:spacing w:before="0" w:after="80" w:line="240" w:lineRule="auto"/>
        <w:jc w:val="left"/>
      </w:pPr>
      <w:r>
        <w:rPr>
          <w:rFonts w:ascii="Poppins" w:hAnsi="Poppins" w:eastAsia="Poppins" w:cs="Poppins"/>
          <w:b/>
          <w:i w:val="0"/>
          <w:color w:val="222222"/>
          <w:sz w:val="38"/>
        </w:rPr>
        <w:t>Gereden worden — Hoe het paard het ervaart</w:t>
      </w:r>
    </w:p>
    <w:p>
      <w:pPr>
        <w:spacing w:before="0" w:after="40" w:line="240" w:lineRule="auto"/>
        <w:jc w:val="left"/>
        <w:pBdr>
          <w:bottom w:val="single" w:sz="10" w:space="4" w:color="B8863B"/>
        </w:pBdr>
      </w:pPr>
      <w:r>
        <w:rPr>
          <w:rFonts w:ascii="Poppins" w:hAnsi="Poppins" w:eastAsia="Poppins" w:cs="Poppins"/>
          <w:b w:val="0"/>
          <w:i/>
          <w:color w:val="666666"/>
          <w:sz w:val="21"/>
        </w:rPr>
        <w:t>Doelgroep: Ruiters van alle disciplines, paardeneigenaren en opleiders</w:t>
      </w:r>
    </w:p>
    <w:p>
      <w:pPr>
        <w:spacing w:after="40"/>
      </w:pPr>
    </w:p>
    <w:p>
      <w:pPr>
        <w:spacing w:before="40" w:after="60" w:line="240" w:lineRule="auto"/>
        <w:jc w:val="left"/>
      </w:pPr>
      <w:r>
        <w:rPr>
          <w:rFonts w:ascii="Poppins" w:hAnsi="Poppins" w:eastAsia="Poppins" w:cs="Poppins"/>
          <w:b/>
          <w:i w:val="0"/>
          <w:color w:val="3E4F3E"/>
          <w:sz w:val="23"/>
        </w:rPr>
        <w:t>Inhoudelijk zwaartepunt:</w:t>
      </w:r>
    </w:p>
    <w:p>
      <w:pPr>
        <w:spacing w:before="0" w:after="160" w:line="240" w:lineRule="auto"/>
        <w:jc w:val="left"/>
      </w:pPr>
      <w:r>
        <w:rPr>
          <w:rFonts w:ascii="Poppins" w:hAnsi="Poppins" w:eastAsia="Poppins" w:cs="Poppins"/>
          <w:b w:val="0"/>
          <w:i w:val="0"/>
          <w:color w:val="222222"/>
          <w:sz w:val="21"/>
        </w:rPr>
        <w:t>Naar het gelijknamige boek van Dr. Ulrike Thiel doorloopt de cursus elf modules, van de harmonieuze bewegingsdialoog via de onafhankelijke zit en de schaal van africhting tot aangeleerde hulpeloosheid, klassiek versus op knopdruk rijden en de actuele discussie in de paardensport — met als doel het paard tijdens het rijden werkelijk te begrijpen. De cursus verbindt biomechanische en psychomotorische basiskennis met een kritische reflectie op gangbare africhtingsmethoden en moedigt aan om de eigen rijstijl consequent vanuit het perspectief van het paard opnieuw te bekijken.</w:t>
      </w:r>
    </w:p>
    <w:p>
      <w:pPr>
        <w:spacing w:before="40" w:after="60" w:line="240" w:lineRule="auto"/>
        <w:jc w:val="left"/>
      </w:pPr>
      <w:r>
        <w:rPr>
          <w:rFonts w:ascii="Poppins" w:hAnsi="Poppins" w:eastAsia="Poppins" w:cs="Poppins"/>
          <w:b/>
          <w:i w:val="0"/>
          <w:color w:val="3E4F3E"/>
          <w:sz w:val="23"/>
        </w:rPr>
        <w:t>Moduleoverzicht:</w:t>
      </w:r>
    </w:p>
    <w:p>
      <w:pPr>
        <w:spacing w:after="40"/>
      </w:pPr>
      <w:r>
        <w:rPr>
          <w:rFonts w:ascii="Poppins" w:hAnsi="Poppins" w:eastAsia="Poppins" w:cs="Poppins"/>
          <w:b/>
          <w:color w:val="3E4F3E"/>
          <w:sz w:val="21"/>
        </w:rPr>
        <w:t xml:space="preserve">Module 1: </w:t>
      </w:r>
      <w:r>
        <w:rPr>
          <w:rFonts w:ascii="Poppins" w:hAnsi="Poppins" w:eastAsia="Poppins" w:cs="Poppins"/>
          <w:color w:val="222222"/>
          <w:sz w:val="21"/>
        </w:rPr>
        <w:t>Paardrijden als harmonieuze bewegingsdialoog</w:t>
      </w:r>
    </w:p>
    <w:p>
      <w:pPr>
        <w:spacing w:after="40"/>
      </w:pPr>
      <w:r>
        <w:rPr>
          <w:rFonts w:ascii="Poppins" w:hAnsi="Poppins" w:eastAsia="Poppins" w:cs="Poppins"/>
          <w:b/>
          <w:color w:val="3E4F3E"/>
          <w:sz w:val="21"/>
        </w:rPr>
        <w:t xml:space="preserve">Module 2: </w:t>
      </w:r>
      <w:r>
        <w:rPr>
          <w:rFonts w:ascii="Poppins" w:hAnsi="Poppins" w:eastAsia="Poppins" w:cs="Poppins"/>
          <w:color w:val="222222"/>
          <w:sz w:val="21"/>
        </w:rPr>
        <w:t>Samen leren: hoe paard en mens een danspaar worden</w:t>
      </w:r>
    </w:p>
    <w:p>
      <w:pPr>
        <w:spacing w:after="40"/>
      </w:pPr>
      <w:r>
        <w:rPr>
          <w:rFonts w:ascii="Poppins" w:hAnsi="Poppins" w:eastAsia="Poppins" w:cs="Poppins"/>
          <w:b/>
          <w:color w:val="3E4F3E"/>
          <w:sz w:val="21"/>
        </w:rPr>
        <w:t xml:space="preserve">Module 3: </w:t>
      </w:r>
      <w:r>
        <w:rPr>
          <w:rFonts w:ascii="Poppins" w:hAnsi="Poppins" w:eastAsia="Poppins" w:cs="Poppins"/>
          <w:color w:val="222222"/>
          <w:sz w:val="21"/>
        </w:rPr>
        <w:t>Hoe de bewegingsdialoog werkt</w:t>
      </w:r>
    </w:p>
    <w:p>
      <w:pPr>
        <w:spacing w:after="40"/>
      </w:pPr>
      <w:r>
        <w:rPr>
          <w:rFonts w:ascii="Poppins" w:hAnsi="Poppins" w:eastAsia="Poppins" w:cs="Poppins"/>
          <w:b/>
          <w:color w:val="3E4F3E"/>
          <w:sz w:val="21"/>
        </w:rPr>
        <w:t xml:space="preserve">Module 4: </w:t>
      </w:r>
      <w:r>
        <w:rPr>
          <w:rFonts w:ascii="Poppins" w:hAnsi="Poppins" w:eastAsia="Poppins" w:cs="Poppins"/>
          <w:color w:val="222222"/>
          <w:sz w:val="21"/>
        </w:rPr>
        <w:t>De onafhankelijke zit en de principes van de bewegingsdialoog</w:t>
      </w:r>
    </w:p>
    <w:p>
      <w:pPr>
        <w:spacing w:after="40"/>
      </w:pPr>
      <w:r>
        <w:rPr>
          <w:rFonts w:ascii="Poppins" w:hAnsi="Poppins" w:eastAsia="Poppins" w:cs="Poppins"/>
          <w:b/>
          <w:color w:val="3E4F3E"/>
          <w:sz w:val="21"/>
        </w:rPr>
        <w:t xml:space="preserve">Module 5: </w:t>
      </w:r>
      <w:r>
        <w:rPr>
          <w:rFonts w:ascii="Poppins" w:hAnsi="Poppins" w:eastAsia="Poppins" w:cs="Poppins"/>
          <w:color w:val="222222"/>
          <w:sz w:val="21"/>
        </w:rPr>
        <w:t>Psychomotorisch leren bij de africhting van paard en ruiter</w:t>
      </w:r>
    </w:p>
    <w:p>
      <w:pPr>
        <w:spacing w:after="40"/>
      </w:pPr>
      <w:r>
        <w:rPr>
          <w:rFonts w:ascii="Poppins" w:hAnsi="Poppins" w:eastAsia="Poppins" w:cs="Poppins"/>
          <w:b/>
          <w:color w:val="3E4F3E"/>
          <w:sz w:val="21"/>
        </w:rPr>
        <w:t xml:space="preserve">Module 6: </w:t>
      </w:r>
      <w:r>
        <w:rPr>
          <w:rFonts w:ascii="Poppins" w:hAnsi="Poppins" w:eastAsia="Poppins" w:cs="Poppins"/>
          <w:color w:val="222222"/>
          <w:sz w:val="21"/>
        </w:rPr>
        <w:t>De rijleer: het skileerplan voor het paard</w:t>
      </w:r>
    </w:p>
    <w:p>
      <w:pPr>
        <w:spacing w:after="40"/>
      </w:pPr>
      <w:r>
        <w:rPr>
          <w:rFonts w:ascii="Poppins" w:hAnsi="Poppins" w:eastAsia="Poppins" w:cs="Poppins"/>
          <w:b/>
          <w:color w:val="3E4F3E"/>
          <w:sz w:val="21"/>
        </w:rPr>
        <w:t xml:space="preserve">Module 7: </w:t>
      </w:r>
      <w:r>
        <w:rPr>
          <w:rFonts w:ascii="Poppins" w:hAnsi="Poppins" w:eastAsia="Poppins" w:cs="Poppins"/>
          <w:color w:val="222222"/>
          <w:sz w:val="21"/>
        </w:rPr>
        <w:t>De schaal van africhting: de weg naar de welzijnshouding</w:t>
      </w:r>
    </w:p>
    <w:p>
      <w:pPr>
        <w:spacing w:after="40"/>
      </w:pPr>
      <w:r>
        <w:rPr>
          <w:rFonts w:ascii="Poppins" w:hAnsi="Poppins" w:eastAsia="Poppins" w:cs="Poppins"/>
          <w:b/>
          <w:color w:val="3E4F3E"/>
          <w:sz w:val="21"/>
        </w:rPr>
        <w:t xml:space="preserve">Module 8: </w:t>
      </w:r>
      <w:r>
        <w:rPr>
          <w:rFonts w:ascii="Poppins" w:hAnsi="Poppins" w:eastAsia="Poppins" w:cs="Poppins"/>
          <w:color w:val="222222"/>
          <w:sz w:val="21"/>
        </w:rPr>
        <w:t>Als het niet klopt: afwijkingen, ruiterfouten en aangeleerde hulpeloosheid</w:t>
      </w:r>
    </w:p>
    <w:p>
      <w:pPr>
        <w:spacing w:after="40"/>
      </w:pPr>
      <w:r>
        <w:rPr>
          <w:rFonts w:ascii="Poppins" w:hAnsi="Poppins" w:eastAsia="Poppins" w:cs="Poppins"/>
          <w:b/>
          <w:color w:val="3E4F3E"/>
          <w:sz w:val="21"/>
        </w:rPr>
        <w:t xml:space="preserve">Module 9: </w:t>
      </w:r>
      <w:r>
        <w:rPr>
          <w:rFonts w:ascii="Poppins" w:hAnsi="Poppins" w:eastAsia="Poppins" w:cs="Poppins"/>
          <w:color w:val="222222"/>
          <w:sz w:val="21"/>
        </w:rPr>
        <w:t>Klassiek of op knopdruk bereden worden</w:t>
      </w:r>
    </w:p>
    <w:p>
      <w:pPr>
        <w:spacing w:after="40"/>
      </w:pPr>
      <w:r>
        <w:rPr>
          <w:rFonts w:ascii="Poppins" w:hAnsi="Poppins" w:eastAsia="Poppins" w:cs="Poppins"/>
          <w:b/>
          <w:color w:val="3E4F3E"/>
          <w:sz w:val="21"/>
        </w:rPr>
        <w:t xml:space="preserve">Module 10: </w:t>
      </w:r>
      <w:r>
        <w:rPr>
          <w:rFonts w:ascii="Poppins" w:hAnsi="Poppins" w:eastAsia="Poppins" w:cs="Poppins"/>
          <w:color w:val="222222"/>
          <w:sz w:val="21"/>
        </w:rPr>
        <w:t>De zogenaamde „moderne“ rijschool</w:t>
      </w:r>
    </w:p>
    <w:p>
      <w:pPr>
        <w:spacing w:after="40"/>
      </w:pPr>
      <w:r>
        <w:rPr>
          <w:rFonts w:ascii="Poppins" w:hAnsi="Poppins" w:eastAsia="Poppins" w:cs="Poppins"/>
          <w:b/>
          <w:color w:val="3E4F3E"/>
          <w:sz w:val="21"/>
        </w:rPr>
        <w:t xml:space="preserve">Module 11: </w:t>
      </w:r>
      <w:r>
        <w:rPr>
          <w:rFonts w:ascii="Poppins" w:hAnsi="Poppins" w:eastAsia="Poppins" w:cs="Poppins"/>
          <w:color w:val="222222"/>
          <w:sz w:val="21"/>
        </w:rPr>
        <w:t>De actuele discussie in de paardensport</w:t>
      </w:r>
    </w:p>
    <w:p>
      <w:pPr>
        <w:spacing w:after="60"/>
      </w:pPr>
    </w:p>
    <w:tbl>
      <w:tblPr>
        <w:tblW w:type="auto" w:w="0"/>
        <w:jc w:val="left"/>
        <w:tblLook w:firstColumn="1" w:firstRow="1" w:lastColumn="0" w:lastRow="0" w:noHBand="0" w:noVBand="1" w:val="04A0"/>
      </w:tblPr>
      <w:tblGrid>
        <w:gridCol w:w="9412"/>
      </w:tblGrid>
      <w:tr>
        <w:tc>
          <w:tcPr>
            <w:tcW w:type="dxa" w:w="9412"/>
            <w:shd w:val="clear" w:color="auto" w:fill="F5F0E4"/>
            <w:tcBorders>
              <w:top w:val="nil"/>
              <w:left w:val="single" w:sz="28" w:color="B8863B"/>
              <w:bottom w:val="nil"/>
              <w:right w:val="nil"/>
            </w:tcBorders>
            <w:tcMar>
              <w:top w:w="140" w:type="dxa"/>
              <w:left w:w="200" w:type="dxa"/>
              <w:bottom w:w="140" w:type="dxa"/>
              <w:right w:w="140" w:type="dxa"/>
            </w:tcMar>
          </w:tcPr>
          <w:p>
            <w:pPr>
              <w:spacing w:after="80"/>
            </w:pPr>
            <w:r>
              <w:rPr>
                <w:rFonts w:ascii="Poppins" w:hAnsi="Poppins" w:eastAsia="Poppins" w:cs="Poppins"/>
                <w:b/>
                <w:color w:val="3E4F3E"/>
                <w:sz w:val="21"/>
              </w:rPr>
              <w:t>Aanmelding &amp; Verloop via E-learning:</w:t>
            </w:r>
          </w:p>
          <w:p>
            <w:pPr>
              <w:spacing w:after="0"/>
            </w:pPr>
            <w:r>
              <w:rPr>
                <w:rFonts w:ascii="Poppins" w:hAnsi="Poppins" w:eastAsia="Poppins" w:cs="Poppins"/>
                <w:color w:val="222222"/>
                <w:sz w:val="19"/>
              </w:rPr>
              <w:t>Na uw aanmelding en betaling via Mollie (o.a. Wero, iDEAL, creditcard) of per overschrijving schakelen wij uw cursus op ons E-learningplatform vrij en krijgt u toegang tot de beveiligde cursusomgeving. Uw toegang blijft na vrijschakeling van de laatste weekmodule nog 4 weken geldig om alles rustig na te bereiden.</w:t>
            </w:r>
          </w:p>
        </w:tc>
      </w:tr>
    </w:tbl>
    <w:p>
      <w:pPr>
        <w:spacing w:after="60"/>
      </w:pPr>
    </w:p>
    <w:p>
      <w:pPr>
        <w:spacing w:after="160"/>
      </w:pPr>
      <w:r>
        <w:rPr>
          <w:rFonts w:ascii="Poppins" w:hAnsi="Poppins" w:eastAsia="Poppins" w:cs="Poppins"/>
          <w:b/>
          <w:color w:val="3E4F3E"/>
          <w:sz w:val="21"/>
        </w:rPr>
        <w:t xml:space="preserve">Wat wordt er uitgereikt: </w:t>
      </w:r>
      <w:r>
        <w:rPr>
          <w:rFonts w:ascii="Poppins" w:hAnsi="Poppins" w:eastAsia="Poppins" w:cs="Poppins"/>
          <w:color w:val="222222"/>
          <w:sz w:val="21"/>
        </w:rPr>
        <w:t>Video-colleges, schriftelijk studiemateriaal, quiz als kennistoets, oefenopdrachten, verklarende woordenlijst, cursuscertificaat.</w:t>
      </w:r>
    </w:p>
    <w:p>
      <w:pPr>
        <w:spacing w:after="0"/>
      </w:pPr>
      <w:r>
        <w:rPr>
          <w:rFonts w:ascii="Poppins" w:hAnsi="Poppins" w:eastAsia="Poppins" w:cs="Poppins"/>
          <w:b/>
          <w:color w:val="3E4F3E"/>
          <w:sz w:val="21"/>
        </w:rPr>
        <w:t xml:space="preserve">Persoonlijke verdieping &amp; upgrade: </w:t>
      </w:r>
      <w:r>
        <w:rPr>
          <w:rFonts w:ascii="Poppins" w:hAnsi="Poppins" w:eastAsia="Poppins" w:cs="Poppins"/>
          <w:color w:val="222222"/>
          <w:sz w:val="21"/>
        </w:rPr>
        <w:t>Heeft u behoefte aan persoonlijke individuele begeleiding, videosupervisie of aanvullende praktijkcursussen op het terrein van HippoCampus, dan kunt u tegen een speciaal tarief upgraden.</w:t>
      </w:r>
    </w:p>
    <w:sectPr w:rsidR="00FC693F" w:rsidRPr="0006063C" w:rsidSect="00034616">
      <w:footerReference w:type="default" r:id="rId9"/>
      <w:pgSz w:w="11906" w:h="16838"/>
      <w:pgMar w:top="652" w:right="1247" w:bottom="567" w:left="1247" w:header="720" w:footer="720" w:gutter="0"/>
      <w:cols w:space="720"/>
      <w:docGrid w:linePitch="360"/>
      <w:pgBorders w:offsetFrom="page">
        <w:top w:val="single" w:sz="18" w:space="24" w:color="6E856D"/>
        <w:left w:val="single" w:sz="18" w:space="24" w:color="6E856D"/>
        <w:bottom w:val="single" w:sz="18" w:space="24" w:color="6E856D"/>
        <w:right w:val="single" w:sz="18" w:space="24" w:color="6E856D"/>
      </w:pgBorder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Poppins" w:hAnsi="Poppins" w:eastAsia="Poppins" w:cs="Poppins"/>
        <w:color w:val="666666"/>
        <w:sz w:val="15"/>
      </w:rPr>
      <w:t>Instituut HippoCampus  ·  De Bult 2, 6027 RG Soerendonk  ·  info@hippocampus-nl.com  ·  www.hippocampus-nl.com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0" w:before="0"/>
    </w:pPr>
    <w:rPr>
      <w:rFonts w:ascii="Poppins" w:hAnsi="Poppins"/>
      <w:color w:val="22222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